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2" w:rsidRDefault="009F40D8">
      <w:pPr>
        <w:jc w:val="center"/>
        <w:rPr>
          <w:rFonts w:ascii="方正大标宋简体" w:eastAsia="方正大标宋简体" w:hAnsi="黑体"/>
          <w:color w:val="FF0000"/>
          <w:spacing w:val="-8"/>
          <w:w w:val="35"/>
          <w:sz w:val="144"/>
          <w:szCs w:val="144"/>
        </w:rPr>
      </w:pPr>
      <w:r>
        <w:rPr>
          <w:rFonts w:ascii="方正大标宋简体" w:eastAsia="方正大标宋简体" w:hAnsi="黑体" w:hint="eastAsia"/>
          <w:color w:val="FF0000"/>
          <w:spacing w:val="-8"/>
          <w:w w:val="35"/>
          <w:sz w:val="144"/>
          <w:szCs w:val="144"/>
        </w:rPr>
        <w:t>全国高职高专党委书记论坛学术委员会</w:t>
      </w:r>
    </w:p>
    <w:p w:rsidR="00302C32" w:rsidRDefault="009F40D8">
      <w:pPr>
        <w:jc w:val="center"/>
        <w:rPr>
          <w:rFonts w:ascii="方正黑体简体" w:eastAsia="方正黑体简体" w:hAnsi="黑体"/>
          <w:b/>
          <w:color w:val="FFFFFF"/>
          <w:sz w:val="10"/>
          <w:szCs w:val="10"/>
          <w:u w:color="FF0000"/>
        </w:rPr>
      </w:pPr>
      <w:r>
        <w:rPr>
          <w:rFonts w:ascii="黑体" w:eastAsia="黑体" w:hAnsi="黑体" w:hint="eastAsia"/>
          <w:b/>
          <w:color w:val="000000"/>
          <w:sz w:val="44"/>
          <w:szCs w:val="44"/>
          <w:u w:val="thick" w:color="FF0000"/>
        </w:rPr>
        <w:t xml:space="preserve">                                   </w:t>
      </w:r>
      <w:r>
        <w:rPr>
          <w:rFonts w:ascii="黑体" w:eastAsia="黑体" w:hAnsi="黑体" w:hint="eastAsia"/>
          <w:b/>
          <w:color w:val="FFFFFF"/>
          <w:sz w:val="10"/>
          <w:szCs w:val="10"/>
          <w:u w:val="thick" w:color="FF0000"/>
        </w:rPr>
        <w:t>1</w:t>
      </w:r>
    </w:p>
    <w:p w:rsidR="00302C32" w:rsidRDefault="009F40D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学术委员会函</w:t>
      </w:r>
      <w:r>
        <w:rPr>
          <w:rFonts w:ascii="方正仿宋简体" w:eastAsia="方正仿宋简体" w:hAnsi="黑体" w:hint="eastAsia"/>
          <w:color w:val="000000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方正仿宋简体" w:eastAsia="方正仿宋简体" w:hAnsi="黑体" w:hint="eastAsia"/>
          <w:color w:val="000000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302C32" w:rsidRDefault="00302C32">
      <w:pPr>
        <w:jc w:val="center"/>
        <w:rPr>
          <w:rFonts w:ascii="黑体" w:eastAsia="黑体" w:hAnsi="黑体" w:cs="黑体"/>
          <w:sz w:val="44"/>
          <w:szCs w:val="44"/>
        </w:rPr>
      </w:pPr>
    </w:p>
    <w:p w:rsidR="00302C32" w:rsidRDefault="009F40D8">
      <w:pPr>
        <w:spacing w:line="72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关于征集全国高职高专</w:t>
      </w:r>
    </w:p>
    <w:p w:rsidR="00302C32" w:rsidRDefault="009F40D8">
      <w:pPr>
        <w:spacing w:line="72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Ansi="黑体" w:hint="eastAsia"/>
          <w:sz w:val="44"/>
          <w:szCs w:val="44"/>
        </w:rPr>
        <w:t>党委书记论坛</w:t>
      </w:r>
      <w:r>
        <w:rPr>
          <w:rFonts w:ascii="方正小标宋_GBK" w:eastAsia="方正小标宋_GBK" w:hAnsi="黑体" w:hint="eastAsia"/>
          <w:sz w:val="44"/>
          <w:szCs w:val="44"/>
        </w:rPr>
        <w:t>20</w:t>
      </w:r>
      <w:r>
        <w:rPr>
          <w:rFonts w:ascii="方正小标宋_GBK" w:eastAsia="方正小标宋_GBK" w:hAnsi="黑体" w:hint="eastAsia"/>
          <w:sz w:val="44"/>
          <w:szCs w:val="44"/>
        </w:rPr>
        <w:t>22</w:t>
      </w:r>
      <w:r>
        <w:rPr>
          <w:rFonts w:ascii="方正小标宋_GBK" w:eastAsia="方正小标宋_GBK" w:hAnsi="黑体" w:hint="eastAsia"/>
          <w:sz w:val="44"/>
          <w:szCs w:val="44"/>
        </w:rPr>
        <w:t>年论文的</w:t>
      </w:r>
      <w:r>
        <w:rPr>
          <w:rFonts w:ascii="方正小标宋_GBK" w:eastAsia="方正小标宋_GBK" w:hAnsi="黑体" w:hint="eastAsia"/>
          <w:sz w:val="44"/>
          <w:szCs w:val="44"/>
        </w:rPr>
        <w:t>通知</w:t>
      </w:r>
    </w:p>
    <w:p w:rsidR="00302C32" w:rsidRDefault="00302C3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02C32" w:rsidRDefault="009F40D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各高职高专院校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2C32" w:rsidRDefault="009F40D8">
      <w:pPr>
        <w:spacing w:line="540" w:lineRule="exact"/>
        <w:ind w:firstLineChars="200" w:firstLine="640"/>
        <w:rPr>
          <w:rFonts w:ascii="仿宋_GB2312"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</w:t>
      </w:r>
      <w:r>
        <w:rPr>
          <w:rFonts w:ascii="仿宋" w:eastAsia="仿宋" w:hAnsi="仿宋" w:cs="仿宋" w:hint="eastAsia"/>
          <w:sz w:val="32"/>
          <w:szCs w:val="32"/>
        </w:rPr>
        <w:t>学习</w:t>
      </w:r>
      <w:r>
        <w:rPr>
          <w:rFonts w:ascii="仿宋" w:eastAsia="仿宋" w:hAnsi="仿宋" w:cs="仿宋" w:hint="eastAsia"/>
          <w:sz w:val="32"/>
          <w:szCs w:val="32"/>
        </w:rPr>
        <w:t>党的十九大和十九届历次全会精神，认真贯彻落实习近平总书记关于教育的重要论述，全面贯彻新发展理念，服务构建新发展格局，全面贯彻党的教育方针，深入学习新职业教育法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推进职教高质量发展，以实际行动和优异成绩迎接党的二十大胜利召开。充分调动高职院校广大理论研究工作者、一线教师加强对高职教育热点及前沿问题的研究。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年全国高职高专党委书记论坛将继续开展论文征集活动。现将有关事项通知如下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02C32" w:rsidRDefault="009F40D8">
      <w:pPr>
        <w:adjustRightInd w:val="0"/>
        <w:snapToGrid w:val="0"/>
        <w:spacing w:line="520" w:lineRule="exact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一、</w:t>
      </w:r>
      <w:r>
        <w:rPr>
          <w:rFonts w:ascii="黑体" w:eastAsia="黑体" w:hAnsi="黑体" w:cs="仿宋_GB2312" w:hint="eastAsia"/>
          <w:b/>
          <w:bCs/>
          <w:sz w:val="32"/>
          <w:szCs w:val="32"/>
        </w:rPr>
        <w:t>论文选题题目</w:t>
      </w:r>
    </w:p>
    <w:p w:rsidR="00302C32" w:rsidRDefault="009F40D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发展战略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习近平总书记关于教育重要论述研究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构建服务全民终身学习的现代职业教育体系研究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高职院校构建多元开放融合办学格局研究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职业院校校企合作、产教融合的路径、模式研究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5.</w:t>
      </w:r>
      <w:r>
        <w:rPr>
          <w:rFonts w:ascii="仿宋" w:eastAsia="仿宋" w:hAnsi="仿宋" w:cs="仿宋" w:hint="eastAsia"/>
          <w:sz w:val="32"/>
          <w:szCs w:val="32"/>
        </w:rPr>
        <w:t>职业教育与普通教育相互融通路径研究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坚持依法治教，依法治学，推动职业教育高质量发展研究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高职院校教学质量评价体系研究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高职院校治理体系和治理能力现代化研究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加强职业精神培育，推动职业教育高质量发展研究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新发展理念在职业教育中的运用研究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职业教育发展的重大理论与实践研究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高职院校“双高”建设的问题与对策研究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职业院校提质培优的瓶颈与解决之道研究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加强高职院校中青年干部队伍建设研究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sz w:val="32"/>
          <w:szCs w:val="32"/>
        </w:rPr>
        <w:t>高职院校服务地方经济社会发展路径研究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r>
        <w:rPr>
          <w:rFonts w:ascii="仿宋" w:eastAsia="仿宋" w:hAnsi="仿宋" w:cs="仿宋" w:hint="eastAsia"/>
          <w:sz w:val="32"/>
          <w:szCs w:val="32"/>
        </w:rPr>
        <w:t>推进高职院校治理能力和治理体系现代化研究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新时代高等职业教育的内涵式发展研究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</w:t>
      </w:r>
      <w:r>
        <w:rPr>
          <w:rFonts w:ascii="仿宋" w:eastAsia="仿宋" w:hAnsi="仿宋" w:cs="仿宋" w:hint="eastAsia"/>
          <w:sz w:val="32"/>
          <w:szCs w:val="32"/>
        </w:rPr>
        <w:t>本科层次高等职业教育的发展路径选择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>
        <w:rPr>
          <w:rFonts w:ascii="仿宋" w:eastAsia="仿宋" w:hAnsi="仿宋" w:cs="仿宋" w:hint="eastAsia"/>
          <w:sz w:val="32"/>
          <w:szCs w:val="32"/>
        </w:rPr>
        <w:t>高职院校落实立德树人根本任务路径研究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</w:t>
      </w:r>
      <w:r>
        <w:rPr>
          <w:rFonts w:ascii="仿宋" w:eastAsia="仿宋" w:hAnsi="仿宋" w:cs="仿宋" w:hint="eastAsia"/>
          <w:sz w:val="32"/>
          <w:szCs w:val="32"/>
        </w:rPr>
        <w:t>构建中国特色学徒制研究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（二）党的建设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加强新时代高职院校意识形态阵地建设研究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新时代高职院校党建工作评价体系研究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高职院校教师党支部书记“双带头人”培育研究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高职院校加强党建带团建的路径研究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新时代高职院校党建示范创建和质量创优工作研究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</w:t>
      </w:r>
      <w:r>
        <w:rPr>
          <w:rFonts w:ascii="仿宋" w:eastAsia="仿宋" w:hAnsi="仿宋" w:cs="仿宋" w:hint="eastAsia"/>
          <w:sz w:val="32"/>
          <w:szCs w:val="32"/>
        </w:rPr>
        <w:t>新形势下高职院校党员创先争优的实践途径研究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构建党史学习教育的长效机制研究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破解职业院校党建与业务“两张皮”的问题研究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加强党建引领高职院校高质量发展研究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高职院校党建工作发展状况与创新路径研究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发挥</w:t>
      </w:r>
      <w:r>
        <w:rPr>
          <w:rFonts w:ascii="仿宋" w:eastAsia="仿宋" w:hAnsi="仿宋" w:cs="仿宋" w:hint="eastAsia"/>
          <w:sz w:val="32"/>
          <w:szCs w:val="32"/>
        </w:rPr>
        <w:t>高职院校基层党支部政治功能路径研究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推动高校党的建设与事业发展深度融合机制研究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以立德树人为导向加强和改进高校党的建设</w:t>
      </w:r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高校党的建设与网络思政工作体系协同机制研究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sz w:val="32"/>
          <w:szCs w:val="32"/>
        </w:rPr>
        <w:t>提升高职院校发展党员工作质量研究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r>
        <w:rPr>
          <w:rFonts w:ascii="仿宋" w:eastAsia="仿宋" w:hAnsi="仿宋" w:cs="仿宋" w:hint="eastAsia"/>
          <w:sz w:val="32"/>
          <w:szCs w:val="32"/>
        </w:rPr>
        <w:t>伟大建党精神融入高职院校思政课教学路径研究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高职院校党建与思政教育协同发展研究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</w:t>
      </w:r>
      <w:r>
        <w:rPr>
          <w:rFonts w:ascii="仿宋" w:eastAsia="仿宋" w:hAnsi="仿宋" w:cs="仿宋" w:hint="eastAsia"/>
          <w:sz w:val="32"/>
          <w:szCs w:val="32"/>
        </w:rPr>
        <w:t>完善高职院校党的领导体制机制研究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>
        <w:rPr>
          <w:rFonts w:ascii="仿宋" w:eastAsia="仿宋" w:hAnsi="仿宋" w:cs="仿宋" w:hint="eastAsia"/>
          <w:sz w:val="32"/>
          <w:szCs w:val="32"/>
        </w:rPr>
        <w:t>高职院校基层党支部工作方法创新研究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</w:t>
      </w:r>
      <w:r>
        <w:rPr>
          <w:rFonts w:ascii="仿宋" w:eastAsia="仿宋" w:hAnsi="仿宋" w:cs="仿宋" w:hint="eastAsia"/>
          <w:sz w:val="32"/>
          <w:szCs w:val="32"/>
        </w:rPr>
        <w:t>红色文化资源在高职院校基层党建工作中的价值与运用</w:t>
      </w:r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（三）思想政治教育（共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新时代高职院校师德师风建设长效机制研究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高职院校辅导员队伍职业化建设研究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加强“四史”教育教学建设研究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高职院校思想政治理论课教师队伍建设研究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高职院校大思想政治工作体系建设研究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“三全育人”在职业院校的实现路径和保障机制研究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7.</w:t>
      </w:r>
      <w:r>
        <w:rPr>
          <w:rFonts w:ascii="仿宋" w:eastAsia="仿宋" w:hAnsi="仿宋" w:cs="仿宋" w:hint="eastAsia"/>
          <w:sz w:val="32"/>
          <w:szCs w:val="32"/>
        </w:rPr>
        <w:t>高职院校思政课实践教学模式探究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高职院校思政课教学效果评价机制研究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大中小学思政课一体化建设机制研究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高职职业院校</w:t>
      </w:r>
      <w:r>
        <w:rPr>
          <w:rFonts w:ascii="仿宋" w:eastAsia="仿宋" w:hAnsi="仿宋" w:cs="仿宋" w:hint="eastAsia"/>
          <w:sz w:val="32"/>
          <w:szCs w:val="32"/>
        </w:rPr>
        <w:t>思想政治工作的创新研究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奋斗精神融入高职院校思政课的路径研究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高职院校大学生德智体美劳“五育并举”研究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构建</w:t>
      </w:r>
      <w:r>
        <w:rPr>
          <w:rFonts w:ascii="仿宋" w:eastAsia="仿宋" w:hAnsi="仿宋" w:cs="仿宋" w:hint="eastAsia"/>
          <w:sz w:val="32"/>
          <w:szCs w:val="32"/>
        </w:rPr>
        <w:t>“大思政”课</w:t>
      </w:r>
      <w:r>
        <w:rPr>
          <w:rFonts w:ascii="仿宋" w:eastAsia="仿宋" w:hAnsi="仿宋" w:cs="仿宋" w:hint="eastAsia"/>
          <w:sz w:val="32"/>
          <w:szCs w:val="32"/>
        </w:rPr>
        <w:t>路径</w:t>
      </w:r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高职院校思政课教学资源库建设研究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sz w:val="32"/>
          <w:szCs w:val="32"/>
        </w:rPr>
        <w:t>思政课程线上线下混合式教学模式研究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r>
        <w:rPr>
          <w:rFonts w:ascii="仿宋" w:eastAsia="仿宋" w:hAnsi="仿宋" w:cs="仿宋" w:hint="eastAsia"/>
          <w:sz w:val="32"/>
          <w:szCs w:val="32"/>
        </w:rPr>
        <w:t>党史教育融入思想政治理论课教学研究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课程思政与思政课程协同育人研究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</w:t>
      </w:r>
      <w:r>
        <w:rPr>
          <w:rFonts w:ascii="仿宋" w:eastAsia="仿宋" w:hAnsi="仿宋" w:cs="仿宋" w:hint="eastAsia"/>
          <w:sz w:val="32"/>
          <w:szCs w:val="32"/>
        </w:rPr>
        <w:t>思政视域下建立高校网络意识形态工作机制的研究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>
        <w:rPr>
          <w:rFonts w:ascii="仿宋" w:eastAsia="仿宋" w:hAnsi="仿宋" w:cs="仿宋" w:hint="eastAsia"/>
          <w:sz w:val="32"/>
          <w:szCs w:val="32"/>
        </w:rPr>
        <w:t>高职思政课名师工作室建设机制的探究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</w:t>
      </w:r>
      <w:r>
        <w:rPr>
          <w:rFonts w:ascii="仿宋" w:eastAsia="仿宋" w:hAnsi="仿宋" w:cs="仿宋" w:hint="eastAsia"/>
          <w:sz w:val="32"/>
          <w:szCs w:val="32"/>
        </w:rPr>
        <w:t>百年变局与世纪疫情下的网络思想政治教育研究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（四）校园文化（共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新时代大学生奋斗精神培育研究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常态化疫情防控背景下高职院校校园文化建设研究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napToGrid w:val="0"/>
          <w:w w:val="95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napToGrid w:val="0"/>
          <w:w w:val="95"/>
          <w:kern w:val="0"/>
          <w:sz w:val="32"/>
          <w:szCs w:val="32"/>
        </w:rPr>
        <w:t>网络热点事件折射的大学生心态及教育引导对策研究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高职院校文化品牌培育研究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立德树人视域下高职院校校园文化建设研究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新时代高职院校师德师风建设长效机制研究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高职文化与企业文化的融合研究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napToGrid w:val="0"/>
          <w:w w:val="95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napToGrid w:val="0"/>
          <w:w w:val="95"/>
          <w:kern w:val="0"/>
          <w:sz w:val="32"/>
          <w:szCs w:val="32"/>
        </w:rPr>
        <w:t>新时代高职院校校园文化建设与意识形态话语权研究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9.</w:t>
      </w:r>
      <w:r>
        <w:rPr>
          <w:rFonts w:ascii="仿宋" w:eastAsia="仿宋" w:hAnsi="仿宋" w:cs="仿宋" w:hint="eastAsia"/>
          <w:sz w:val="32"/>
          <w:szCs w:val="32"/>
        </w:rPr>
        <w:t>培养劳模精神、劳动精神、工匠精神路径研究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新媒体时代高职院校校园文化建设的路径选择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数字化升级背景下的高职文化建设创新研究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地域特色红色文化与高职文化育人创新研究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新时期工匠精神与文化育人路径研究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中国传统文化融入职业教育的路径研究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sz w:val="32"/>
          <w:szCs w:val="32"/>
        </w:rPr>
        <w:t>“岗课赛证”综合育人文化研究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r>
        <w:rPr>
          <w:rFonts w:ascii="仿宋" w:eastAsia="仿宋" w:hAnsi="仿宋" w:cs="仿宋" w:hint="eastAsia"/>
          <w:sz w:val="32"/>
          <w:szCs w:val="32"/>
        </w:rPr>
        <w:t>技术技能创新平台中的文化育人研究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探索中国特色学徒制的文化育人研究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</w:t>
      </w:r>
      <w:r>
        <w:rPr>
          <w:rFonts w:ascii="仿宋" w:eastAsia="仿宋" w:hAnsi="仿宋" w:cs="仿宋" w:hint="eastAsia"/>
          <w:sz w:val="32"/>
          <w:szCs w:val="32"/>
        </w:rPr>
        <w:t>高职院校培育大学生爱国主义情怀研究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>
        <w:rPr>
          <w:rFonts w:ascii="仿宋" w:eastAsia="仿宋" w:hAnsi="仿宋" w:cs="仿宋" w:hint="eastAsia"/>
          <w:sz w:val="32"/>
          <w:szCs w:val="32"/>
        </w:rPr>
        <w:t>新时期高职网络文化建设研究</w:t>
      </w:r>
    </w:p>
    <w:p w:rsidR="00302C32" w:rsidRDefault="009F40D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</w:t>
      </w:r>
      <w:r>
        <w:rPr>
          <w:rFonts w:ascii="仿宋" w:eastAsia="仿宋" w:hAnsi="仿宋" w:cs="仿宋" w:hint="eastAsia"/>
          <w:sz w:val="32"/>
          <w:szCs w:val="32"/>
        </w:rPr>
        <w:t>高职院校职业技能竞赛活动育人机制研究</w:t>
      </w:r>
    </w:p>
    <w:p w:rsidR="00302C32" w:rsidRDefault="009F40D8">
      <w:pPr>
        <w:spacing w:line="540" w:lineRule="exact"/>
        <w:ind w:leftChars="304" w:left="638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2"/>
          <w:szCs w:val="32"/>
        </w:rPr>
        <w:t>二、征文对象</w:t>
      </w:r>
    </w:p>
    <w:p w:rsidR="00302C32" w:rsidRDefault="009F40D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高职高专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</w:rPr>
        <w:t>从事行政管理、党建、思想政治教育、校园文化建设的各级领导、一线教师和管理干部。</w:t>
      </w:r>
    </w:p>
    <w:p w:rsidR="00302C32" w:rsidRDefault="009F40D8">
      <w:pPr>
        <w:numPr>
          <w:ilvl w:val="0"/>
          <w:numId w:val="1"/>
        </w:numPr>
        <w:spacing w:line="54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论文具体要求</w:t>
      </w:r>
    </w:p>
    <w:p w:rsidR="00302C32" w:rsidRDefault="009F40D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坚持党的十九大以来的路线方针和政策，理论联系实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际，结合高职高专院校特点和师生思想实际，主题鲜明、观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点正确、逻辑严谨，体现思想性、学术性和创新性，有一定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的理论价值和实践意义，有较强的感染力和说服力。</w:t>
      </w:r>
    </w:p>
    <w:p w:rsidR="00302C32" w:rsidRDefault="009F40D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论文标题可以参考论文选提题目，也可自拟题目。</w:t>
      </w:r>
    </w:p>
    <w:p w:rsidR="00302C32" w:rsidRDefault="009F40D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征稿篇幅控制在</w:t>
      </w:r>
      <w:r>
        <w:rPr>
          <w:rFonts w:ascii="仿宋_GB2312" w:eastAsia="仿宋_GB2312" w:hint="eastAsia"/>
          <w:sz w:val="32"/>
          <w:szCs w:val="32"/>
        </w:rPr>
        <w:t xml:space="preserve"> 5000 </w:t>
      </w:r>
      <w:r>
        <w:rPr>
          <w:rFonts w:ascii="仿宋_GB2312" w:eastAsia="仿宋_GB2312" w:hint="eastAsia"/>
          <w:sz w:val="32"/>
          <w:szCs w:val="32"/>
        </w:rPr>
        <w:t>字以内，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未曾公开发表的成果，严禁抄袭</w:t>
      </w:r>
      <w:r>
        <w:rPr>
          <w:rFonts w:ascii="仿宋_GB2312" w:eastAsia="仿宋_GB2312" w:hint="eastAsia"/>
          <w:sz w:val="32"/>
          <w:szCs w:val="32"/>
        </w:rPr>
        <w:t>，查重率</w:t>
      </w:r>
      <w:r>
        <w:rPr>
          <w:rFonts w:ascii="仿宋_GB2312" w:eastAsia="仿宋_GB2312"/>
          <w:sz w:val="32"/>
          <w:szCs w:val="32"/>
        </w:rPr>
        <w:t>≤</w:t>
      </w:r>
      <w:r>
        <w:rPr>
          <w:rFonts w:ascii="仿宋_GB2312" w:eastAsia="仿宋_GB2312" w:hint="eastAsia"/>
          <w:sz w:val="32"/>
          <w:szCs w:val="32"/>
        </w:rPr>
        <w:t>30%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02C32" w:rsidRDefault="009F40D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本次征文活动由单位统一组织报送，并填写单位推荐</w:t>
      </w:r>
      <w:r>
        <w:rPr>
          <w:rFonts w:ascii="仿宋_GB2312" w:eastAsia="仿宋_GB2312" w:hint="eastAsia"/>
          <w:sz w:val="32"/>
          <w:szCs w:val="32"/>
        </w:rPr>
        <w:lastRenderedPageBreak/>
        <w:t>表</w:t>
      </w:r>
      <w:r>
        <w:rPr>
          <w:rFonts w:ascii="仿宋_GB2312" w:eastAsia="仿宋_GB2312" w:hint="eastAsia"/>
          <w:sz w:val="32"/>
          <w:szCs w:val="32"/>
        </w:rPr>
        <w:t>（附件）</w:t>
      </w:r>
      <w:r>
        <w:rPr>
          <w:rFonts w:ascii="仿宋_GB2312" w:eastAsia="仿宋_GB2312" w:hint="eastAsia"/>
          <w:sz w:val="32"/>
          <w:szCs w:val="32"/>
        </w:rPr>
        <w:t>。各高职院校科研机构、党政部门对征文稿件内容进行认真审核，如实填写推荐表并加盖公章</w:t>
      </w:r>
      <w:r>
        <w:rPr>
          <w:rFonts w:ascii="仿宋_GB2312" w:eastAsia="仿宋_GB2312" w:hint="eastAsia"/>
          <w:sz w:val="32"/>
          <w:szCs w:val="32"/>
        </w:rPr>
        <w:t>，各单位报送论文总篇数不超</w:t>
      </w:r>
      <w:r>
        <w:rPr>
          <w:rFonts w:ascii="仿宋_GB2312" w:eastAsia="仿宋_GB2312" w:hint="eastAsia"/>
          <w:sz w:val="32"/>
          <w:szCs w:val="32"/>
        </w:rPr>
        <w:t>过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02C32" w:rsidRDefault="009F40D8">
      <w:pPr>
        <w:spacing w:line="54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四、论文的报送、评选和使用</w:t>
      </w:r>
    </w:p>
    <w:p w:rsidR="00302C32" w:rsidRDefault="009F40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请各高职高专院校认真组织，择优推荐。以第一作者名义报送的论文原则上不超过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篇。请论文作者根据论文内容在高职高专发展战略组、高职高专党的建设组、高职高专思想政治工作组和高职高专校园文化建设组中</w:t>
      </w:r>
      <w:r>
        <w:rPr>
          <w:rFonts w:ascii="仿宋" w:eastAsia="仿宋" w:hAnsi="仿宋" w:hint="eastAsia"/>
          <w:color w:val="000000"/>
          <w:sz w:val="32"/>
          <w:szCs w:val="32"/>
        </w:rPr>
        <w:t>选择</w:t>
      </w:r>
      <w:r>
        <w:rPr>
          <w:rFonts w:ascii="仿宋" w:eastAsia="仿宋" w:hAnsi="仿宋" w:hint="eastAsia"/>
          <w:color w:val="000000"/>
          <w:sz w:val="32"/>
          <w:szCs w:val="32"/>
        </w:rPr>
        <w:t>一组参加论文评审。</w:t>
      </w:r>
    </w:p>
    <w:p w:rsidR="00302C32" w:rsidRDefault="009F40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全国高职高专党委书记论坛学术委员会将组织论文查新和论文评审，并分别按照</w:t>
      </w:r>
      <w:r>
        <w:rPr>
          <w:rFonts w:ascii="仿宋" w:eastAsia="仿宋" w:hAnsi="仿宋" w:hint="eastAsia"/>
          <w:color w:val="000000"/>
          <w:sz w:val="32"/>
          <w:szCs w:val="32"/>
        </w:rPr>
        <w:t>10%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15%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25%</w:t>
      </w:r>
      <w:r>
        <w:rPr>
          <w:rFonts w:ascii="仿宋" w:eastAsia="仿宋" w:hAnsi="仿宋" w:hint="eastAsia"/>
          <w:color w:val="000000"/>
          <w:sz w:val="32"/>
          <w:szCs w:val="32"/>
        </w:rPr>
        <w:t>的比例设立一等奖，二等奖，三等奖。</w:t>
      </w:r>
    </w:p>
    <w:p w:rsidR="00302C32" w:rsidRDefault="009F40D8">
      <w:pPr>
        <w:spacing w:line="54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五、其他</w:t>
      </w:r>
    </w:p>
    <w:p w:rsidR="00302C32" w:rsidRDefault="009F40D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论文征集的截止日期是</w:t>
      </w: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30</w:t>
      </w:r>
      <w:r>
        <w:rPr>
          <w:rFonts w:ascii="仿宋" w:eastAsia="仿宋" w:hAnsi="仿宋" w:hint="eastAsia"/>
          <w:color w:val="000000"/>
          <w:sz w:val="32"/>
          <w:szCs w:val="32"/>
        </w:rPr>
        <w:t>日，过时无效。请在此之前将论文电子版以及论文推荐表（</w:t>
      </w:r>
      <w:r>
        <w:rPr>
          <w:rFonts w:ascii="仿宋_GB2312" w:eastAsia="仿宋_GB2312" w:hint="eastAsia"/>
          <w:sz w:val="32"/>
          <w:szCs w:val="32"/>
        </w:rPr>
        <w:t>加盖公章</w:t>
      </w:r>
      <w:r>
        <w:rPr>
          <w:rFonts w:ascii="仿宋" w:eastAsia="仿宋" w:hAnsi="仿宋" w:hint="eastAsia"/>
          <w:color w:val="000000"/>
          <w:sz w:val="32"/>
          <w:szCs w:val="32"/>
        </w:rPr>
        <w:t>）以</w:t>
      </w:r>
      <w:r>
        <w:rPr>
          <w:rFonts w:ascii="仿宋" w:eastAsia="仿宋" w:hAnsi="仿宋" w:hint="eastAsia"/>
          <w:color w:val="000000"/>
          <w:sz w:val="32"/>
          <w:szCs w:val="32"/>
        </w:rPr>
        <w:t>PDF</w:t>
      </w:r>
      <w:r>
        <w:rPr>
          <w:rFonts w:ascii="仿宋" w:eastAsia="仿宋" w:hAnsi="仿宋" w:hint="eastAsia"/>
          <w:color w:val="000000"/>
          <w:sz w:val="32"/>
          <w:szCs w:val="32"/>
        </w:rPr>
        <w:t>格式一并发送至：</w:t>
      </w:r>
      <w:hyperlink r:id="rId7" w:history="1">
        <w:r>
          <w:rPr>
            <w:rStyle w:val="a3"/>
            <w:rFonts w:ascii="仿宋" w:eastAsia="仿宋" w:hAnsi="仿宋"/>
            <w:sz w:val="32"/>
            <w:szCs w:val="32"/>
          </w:rPr>
          <w:t>sjltxswyhmsc@163.com</w:t>
        </w:r>
        <w:r>
          <w:rPr>
            <w:rStyle w:val="a3"/>
            <w:rFonts w:ascii="仿宋" w:eastAsia="仿宋" w:hAnsi="仿宋" w:hint="eastAsia"/>
            <w:sz w:val="32"/>
            <w:szCs w:val="32"/>
          </w:rPr>
          <w:t>。</w:t>
        </w:r>
      </w:hyperlink>
    </w:p>
    <w:p w:rsidR="00302C32" w:rsidRDefault="009F40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联系人：</w:t>
      </w:r>
    </w:p>
    <w:p w:rsidR="00302C32" w:rsidRDefault="009F40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宁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18813063851</w:t>
      </w:r>
    </w:p>
    <w:p w:rsidR="00302C32" w:rsidRDefault="009F40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丹</w:t>
      </w:r>
      <w:r>
        <w:rPr>
          <w:rFonts w:ascii="仿宋" w:eastAsia="仿宋" w:hAnsi="仿宋"/>
          <w:color w:val="000000"/>
          <w:sz w:val="32"/>
          <w:szCs w:val="32"/>
        </w:rPr>
        <w:t xml:space="preserve">  13568926618 </w:t>
      </w:r>
    </w:p>
    <w:p w:rsidR="00302C32" w:rsidRDefault="009F40D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徐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文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13699026067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302C32" w:rsidRDefault="009F40D8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特此通知。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 </w:t>
      </w:r>
    </w:p>
    <w:p w:rsidR="00302C32" w:rsidRDefault="009F40D8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附件：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1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年全国高职高专党委书记论坛学术委员会论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 </w:t>
      </w:r>
    </w:p>
    <w:p w:rsidR="00302C32" w:rsidRDefault="009F40D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文推荐表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302C32" w:rsidRDefault="00700F71">
      <w:pPr>
        <w:adjustRightInd w:val="0"/>
        <w:snapToGrid w:val="0"/>
        <w:spacing w:line="60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-647700</wp:posOffset>
            </wp:positionV>
            <wp:extent cx="1714500" cy="1782445"/>
            <wp:effectExtent l="381000" t="342900" r="361950" b="33210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-2220000">
                      <a:off x="0" y="0"/>
                      <a:ext cx="171450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0D8">
        <w:rPr>
          <w:rFonts w:ascii="仿宋" w:eastAsia="仿宋" w:hAnsi="仿宋" w:cs="仿宋" w:hint="eastAsia"/>
          <w:sz w:val="32"/>
          <w:szCs w:val="32"/>
        </w:rPr>
        <w:t>全国高职高专党委书记论坛学术委员会</w:t>
      </w:r>
    </w:p>
    <w:p w:rsidR="00302C32" w:rsidRDefault="009F40D8" w:rsidP="00700F71">
      <w:pPr>
        <w:adjustRightInd w:val="0"/>
        <w:snapToGrid w:val="0"/>
        <w:spacing w:beforeLines="100" w:line="600" w:lineRule="exact"/>
        <w:jc w:val="center"/>
      </w:pPr>
      <w:r>
        <w:rPr>
          <w:rFonts w:ascii="仿宋" w:eastAsia="仿宋" w:hAnsi="仿宋" w:cs="仿宋" w:hint="eastAsia"/>
          <w:sz w:val="32"/>
          <w:szCs w:val="32"/>
        </w:rPr>
        <w:t xml:space="preserve">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302C32" w:rsidSect="00302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D8" w:rsidRDefault="009F40D8" w:rsidP="00700F71">
      <w:r>
        <w:separator/>
      </w:r>
    </w:p>
  </w:endnote>
  <w:endnote w:type="continuationSeparator" w:id="0">
    <w:p w:rsidR="009F40D8" w:rsidRDefault="009F40D8" w:rsidP="0070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D8" w:rsidRDefault="009F40D8" w:rsidP="00700F71">
      <w:r>
        <w:separator/>
      </w:r>
    </w:p>
  </w:footnote>
  <w:footnote w:type="continuationSeparator" w:id="0">
    <w:p w:rsidR="009F40D8" w:rsidRDefault="009F40D8" w:rsidP="0070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E74F3"/>
    <w:multiLevelType w:val="singleLevel"/>
    <w:tmpl w:val="D04E74F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zNTcwYWIwM2U1ZGRhN2ZjOTNhODcxZTc5MjZhYWMifQ=="/>
  </w:docVars>
  <w:rsids>
    <w:rsidRoot w:val="5DBF4565"/>
    <w:rsid w:val="00302C32"/>
    <w:rsid w:val="00700F71"/>
    <w:rsid w:val="009F40D8"/>
    <w:rsid w:val="3077337C"/>
    <w:rsid w:val="3FCF4EC7"/>
    <w:rsid w:val="46D8720B"/>
    <w:rsid w:val="587847B4"/>
    <w:rsid w:val="5DB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02C32"/>
    <w:rPr>
      <w:color w:val="0000FF"/>
      <w:u w:val="single"/>
    </w:rPr>
  </w:style>
  <w:style w:type="paragraph" w:styleId="a4">
    <w:name w:val="header"/>
    <w:basedOn w:val="a"/>
    <w:link w:val="Char"/>
    <w:rsid w:val="0070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0F71"/>
    <w:rPr>
      <w:kern w:val="2"/>
      <w:sz w:val="18"/>
      <w:szCs w:val="18"/>
    </w:rPr>
  </w:style>
  <w:style w:type="paragraph" w:styleId="a5">
    <w:name w:val="footer"/>
    <w:basedOn w:val="a"/>
    <w:link w:val="Char0"/>
    <w:rsid w:val="0070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0F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jltxswyhmsc@163.com&#12290;&#36807;&#26102;&#26080;&#25928;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hp</cp:lastModifiedBy>
  <cp:revision>2</cp:revision>
  <dcterms:created xsi:type="dcterms:W3CDTF">2022-05-23T03:03:00Z</dcterms:created>
  <dcterms:modified xsi:type="dcterms:W3CDTF">2022-05-23T03:03:00Z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0128CD0B4CBB48559E9147AB27D43F58</vt:lpwstr>
  </property>
</Properties>
</file>